
<file path=[Content_Types].xml><?xml version="1.0" encoding="utf-8"?>
<Types xmlns="http://schemas.openxmlformats.org/package/2006/content-types">
  <Default Extension="rels" ContentType="application/vnd.openxmlformats-package.relationships+xml"/>
  <Default Extension="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customXml/item1.xml" ContentType="application/xml"/>
  <Override PartName="/customXml/itemProps4.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5.xml" ContentType="application/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7C0D0671" Type="http://schemas.openxmlformats.org/officeDocument/2006/relationships/officeDocument" Target="word/document.xml"/><Relationship Id="RED778EB7" Type="http://schemas.openxmlformats.org/package/2006/relationships/metadata/core-properties" Target="docProps/core.xml"/><Relationship Id="rId1" Type="http://schemas.openxmlformats.org/officeDocument/2006/relationships/custom-properties" Target="docProps/custom.xml"/></Relationships>
</file>

<file path=word/document.xml><?xml version="1.0" encoding="utf-8"?>
<w:document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body>
    <w:p>
      <w:pPr>
        <w:spacing w:before="0" w:after="0" w:line="259" w:lineRule="auto"/>
        <w:ind w:left="-5"/>
      </w:pPr>
      <w:r>
        <w:rPr>
          <w:rFonts w:cs="Arial" w:hAnsi="Arial" w:eastAsia="Arial" w:ascii="Arial"/>
          <w:b w:val="1"/>
          <w:color w:val="023971"/>
          <w:sz w:val="30"/>
        </w:rPr>
        <w:t xml:space="preserve">Non</w:t>
      </w:r>
      <w:r>
        <w:rPr>
          <w:rFonts w:cs="Arial" w:hAnsi="Arial" w:eastAsia="Arial" w:ascii="Arial"/>
          <w:b w:val="1"/>
          <w:color w:val="023971"/>
          <w:sz w:val="30"/>
        </w:rPr>
        <w:t xml:space="preserve">-</w:t>
      </w:r>
      <w:r>
        <w:rPr>
          <w:rFonts w:cs="Arial" w:hAnsi="Arial" w:eastAsia="Arial" w:ascii="Arial"/>
          <w:b w:val="1"/>
          <w:color w:val="023971"/>
          <w:sz w:val="30"/>
        </w:rPr>
        <w:t xml:space="preserve">core Development Advisory Services (DAS) Funding </w:t>
      </w:r>
    </w:p>
    <w:p>
      <w:pPr>
        <w:spacing w:before="0" w:after="110" w:line="259" w:lineRule="auto"/>
        <w:ind w:left="-5"/>
      </w:pPr>
      <w:r>
        <w:rPr>
          <w:rFonts w:cs="Arial" w:hAnsi="Arial" w:eastAsia="Arial" w:ascii="Arial"/>
          <w:b w:val="1"/>
          <w:color w:val="023971"/>
          <w:sz w:val="30"/>
        </w:rPr>
        <w:t xml:space="preserve">Facility </w:t>
      </w:r>
      <w:r>
        <w:rPr>
          <w:rFonts w:cs="Arial" w:hAnsi="Arial" w:eastAsia="Arial" w:ascii="Arial"/>
          <w:b w:val="1"/>
          <w:color w:val="023971"/>
          <w:sz w:val="30"/>
          <w:vertAlign w:val="superscript"/>
        </w:rPr>
        <w:t xml:space="preserve"> </w:t>
      </w:r>
    </w:p>
    <w:p>
      <w:pPr>
        <w:spacing w:before="0" w:after="0" w:line="259" w:lineRule="auto"/>
        <w:ind w:left="0" w:firstLine="0"/>
        <w:jc w:val="right"/>
      </w:pPr>
      <w:r>
        <w:rPr>
          <w:rFonts w:cs="Arial" w:hAnsi="Arial" w:eastAsia="Arial" w:ascii="Arial"/>
          <w:b w:val="1"/>
          <w:color w:val="023971"/>
          <w:sz w:val="21"/>
        </w:rPr>
        <w:t xml:space="preserve"> </w:t>
      </w:r>
    </w:p>
    <w:p>
      <w:pPr>
        <w:spacing w:before="0" w:after="0" w:line="259" w:lineRule="auto"/>
        <w:ind w:left="0" w:firstLine="0"/>
      </w:pPr>
      <w:r>
        <w:rPr/>
        <w:t xml:space="preserve"> </w:t>
      </w:r>
    </w:p>
    <w:p>
      <w:pPr>
        <w:pStyle w:val="heading1"/>
        <w:spacing w:before="0" w:after="0" w:line="259" w:lineRule="auto"/>
        <w:ind w:left="-5"/>
      </w:pPr>
      <w:r>
        <w:rPr/>
        <w:t xml:space="preserve">General</w:t>
      </w:r>
      <w:r>
        <w:rPr/>
        <w:t xml:space="preserve"> </w:t>
      </w:r>
    </w:p>
    <w:p>
      <w:pPr>
        <w:spacing w:before="0" w:after="0" w:line="259" w:lineRule="auto"/>
        <w:ind w:left="0" w:firstLine="0"/>
      </w:pPr>
      <w:r>
        <w:rPr>
          <w:rFonts w:cs="Arial" w:hAnsi="Arial" w:eastAsia="Arial" w:ascii="Arial"/>
          <w:b w:val="1"/>
        </w:rPr>
        <w:t xml:space="preserve"> </w:t>
      </w:r>
    </w:p>
    <w:p>
      <w:pPr>
        <w:pStyle w:val="normal"/>
        <w:spacing w:before="0" w:after="5" w:line="251" w:lineRule="auto"/>
        <w:ind w:left="-5" w:right="35"/>
      </w:pPr>
      <w:r>
        <w:rPr/>
        <w:t xml:space="preserve">1. In addition to the existing funding modalities, in each Country Office, a Development Advisory </w:t>
      </w:r>
    </w:p>
    <w:p>
      <w:pPr>
        <w:pStyle w:val="normal"/>
        <w:spacing w:before="0" w:after="5" w:line="251" w:lineRule="auto"/>
        <w:ind w:left="-5" w:right="35"/>
      </w:pPr>
      <w:r>
        <w:rPr/>
        <w:t xml:space="preserve">Services (DAS)</w:t>
      </w:r>
      <w:r>
        <w:rPr/>
        <w:t xml:space="preserve"> </w:t>
      </w:r>
      <w:r>
        <w:rPr/>
        <w:t xml:space="preserve">Facility funded through Other Resources can be established in order to provide Resident Representatives with a rapid response capacity for direct support to upstream initiatives in UNDP’s focus areas. .</w:t>
      </w:r>
      <w:r>
        <w:rPr/>
        <w:t xml:space="preserve"> </w:t>
      </w:r>
    </w:p>
    <w:p>
      <w:pPr>
        <w:spacing w:before="0" w:after="0" w:line="259" w:lineRule="auto"/>
        <w:ind w:left="0" w:firstLine="0"/>
      </w:pPr>
      <w:r>
        <w:rPr/>
        <w:t xml:space="preserve"> </w:t>
      </w:r>
    </w:p>
    <w:p>
      <w:pPr>
        <w:pStyle w:val="heading1"/>
        <w:spacing w:before="0" w:after="0" w:line="259" w:lineRule="auto"/>
        <w:ind w:left="-5"/>
      </w:pPr>
      <w:r>
        <w:rPr/>
        <w:t xml:space="preserve">The DAS facility</w:t>
      </w:r>
      <w:r>
        <w:rPr>
          <w:rFonts w:cs="Arial" w:hAnsi="Arial" w:eastAsia="Arial" w:ascii="Arial"/>
          <w:b w:val="0"/>
        </w:rPr>
        <w:t xml:space="preserve"> </w:t>
      </w:r>
    </w:p>
    <w:p>
      <w:pPr>
        <w:spacing w:before="0" w:after="0" w:line="259" w:lineRule="auto"/>
        <w:ind w:left="0" w:firstLine="0"/>
      </w:pPr>
      <w:r>
        <w:rPr/>
        <w:t xml:space="preserve"> </w:t>
      </w:r>
    </w:p>
    <w:p>
      <w:pPr>
        <w:pStyle w:val="normal"/>
        <w:numPr>
          <w:ilvl w:val="0"/>
          <w:numId w:val="1"/>
        </w:numPr>
        <w:spacing w:before="0" w:after="5" w:line="251" w:lineRule="auto"/>
        <w:ind w:right="35"/>
      </w:pPr>
      <w:r>
        <w:rPr/>
        <w:t xml:space="preserve">Development Advisory Services (DAS) are intended to directly support high priority frameworks and programming initiatives, such as Country Programmes, SRFs, UNDAFs, pursuance of MDGs and Joint Programmes. The DAS facility should be leveraged to significantly enhance the substantive capacity of UNDP country offices to respond in a timely and flexible manner to the identified needs of governments in the above areas. The DAS facility also is expected to enhance the consultative process between Resident Representatives, Governments and donors, especially with respect to the alignment and programming of core and non</w:t>
      </w:r>
      <w:r>
        <w:rPr/>
        <w:t xml:space="preserve">-</w:t>
      </w:r>
      <w:r>
        <w:rPr/>
        <w:t xml:space="preserve">core resources.</w:t>
      </w:r>
      <w:r>
        <w:rPr/>
        <w:t xml:space="preserve"> </w:t>
      </w:r>
    </w:p>
    <w:p>
      <w:pPr>
        <w:spacing w:before="0" w:after="0" w:line="259" w:lineRule="auto"/>
        <w:ind w:left="0" w:firstLine="0"/>
      </w:pPr>
      <w:r>
        <w:rPr/>
        <w:t xml:space="preserve"> </w:t>
      </w:r>
    </w:p>
    <w:p>
      <w:pPr>
        <w:pStyle w:val="normal"/>
        <w:numPr>
          <w:ilvl w:val="0"/>
          <w:numId w:val="1"/>
        </w:numPr>
        <w:spacing w:before="0" w:after="5" w:line="251" w:lineRule="auto"/>
        <w:ind w:right="35"/>
      </w:pPr>
      <w:r>
        <w:rPr/>
        <w:t xml:space="preserve">There is no prescribed funding level for the DAS facility established in each country office. Rather, DAS funding will depend entirely on the ability of country offices to mobilize resources for this purpose in close consultation with the government. </w:t>
      </w:r>
      <w:r>
        <w:rPr/>
        <w:t xml:space="preserve"> </w:t>
      </w:r>
    </w:p>
    <w:p>
      <w:pPr>
        <w:spacing w:before="0" w:after="0" w:line="259" w:lineRule="auto"/>
        <w:ind w:left="0" w:firstLine="0"/>
      </w:pPr>
      <w:r>
        <w:rPr/>
        <w:t xml:space="preserve"> </w:t>
      </w:r>
    </w:p>
    <w:p>
      <w:pPr>
        <w:pStyle w:val="normal"/>
        <w:numPr>
          <w:ilvl w:val="0"/>
          <w:numId w:val="1"/>
        </w:numPr>
        <w:spacing w:before="0" w:after="5" w:line="251" w:lineRule="auto"/>
        <w:ind w:right="35"/>
      </w:pPr>
      <w:r>
        <w:rPr/>
        <w:t xml:space="preserve">The DAS facility could receive funds from a variety of sources, such as one or more of the following below: </w:t>
      </w:r>
      <w:r>
        <w:rPr/>
        <w:t xml:space="preserve"> </w:t>
      </w:r>
    </w:p>
    <w:p>
      <w:pPr>
        <w:pStyle w:val="normal"/>
        <w:numPr>
          <w:ilvl w:val="0"/>
          <w:numId w:val="2"/>
        </w:numPr>
        <w:spacing w:before="0" w:after="5" w:line="251" w:lineRule="auto"/>
        <w:ind w:right="35"/>
      </w:pPr>
      <w:r>
        <w:rPr/>
        <w:t xml:space="preserve">The Country Programme Cost sharing Account (11888 account) represents a source of non</w:t>
      </w:r>
      <w:r>
        <w:rPr/>
        <w:t xml:space="preserve">-</w:t>
      </w:r>
      <w:r>
        <w:rPr/>
        <w:t xml:space="preserve">core programme resources available to countries in support of a broad range of programme initiatives falling within the purview of their Country Programmes. Resources currently flow into it from two different sources: (1) blanket contributions to Country Programmes from donors (usually the concerned programme country government); and (2) interest earned on cost sharing income balances. Country offices should review the current status of their Country Programme cost sharing accounts (11888 accounts), especially accumulated interest earned on cost sharing income balances, and then hold appropriate consultations with host governments in order to determine the magnitude of resources, if any, which could be best utilized through transfer to the DAS facility.</w:t>
      </w:r>
      <w:r>
        <w:rPr/>
        <w:t xml:space="preserve"> </w:t>
      </w:r>
    </w:p>
    <w:p>
      <w:pPr>
        <w:spacing w:before="0" w:after="0" w:line="259" w:lineRule="auto"/>
        <w:ind w:left="0" w:firstLine="0"/>
      </w:pPr>
      <w:r>
        <w:rPr/>
        <w:t xml:space="preserve"> </w:t>
      </w:r>
    </w:p>
    <w:p>
      <w:pPr>
        <w:pStyle w:val="normal"/>
        <w:numPr>
          <w:ilvl w:val="0"/>
          <w:numId w:val="2"/>
        </w:numPr>
        <w:spacing w:before="0" w:after="5" w:line="251" w:lineRule="auto"/>
        <w:ind w:right="35"/>
      </w:pPr>
      <w:r>
        <w:rPr/>
        <w:t xml:space="preserve">Residual Cost Sharing Income Balances exist with respect to a large number of completed projects that still have remaining cost sharing income balances. Consistent with general practice in the organization, donor agreement/concurrence must be secured prior to transferring and utilizing any such balances to the DAS facility.</w:t>
      </w:r>
      <w:r>
        <w:rPr/>
        <w:t xml:space="preserve"> </w:t>
      </w:r>
    </w:p>
    <w:p>
      <w:pPr>
        <w:spacing w:before="0" w:after="0" w:line="259" w:lineRule="auto"/>
        <w:ind w:left="0" w:firstLine="0"/>
      </w:pPr>
      <w:r>
        <w:rPr/>
        <w:t xml:space="preserve"> </w:t>
      </w:r>
    </w:p>
    <w:p>
      <w:pPr>
        <w:pStyle w:val="normal"/>
        <w:numPr>
          <w:ilvl w:val="0"/>
          <w:numId w:val="2"/>
        </w:numPr>
        <w:spacing w:before="0" w:after="5" w:line="251" w:lineRule="auto"/>
        <w:ind w:right="35"/>
      </w:pPr>
      <w:r>
        <w:rPr/>
        <w:t xml:space="preserve">Direct Government and Third</w:t>
      </w:r>
      <w:r>
        <w:rPr/>
        <w:t xml:space="preserve">-</w:t>
      </w:r>
      <w:r>
        <w:rPr/>
        <w:t xml:space="preserve">Party Contributions can also be mobilized and credited to the DAS facility to directly support programme initiatives. </w:t>
      </w:r>
      <w:r>
        <w:rPr/>
        <w:t xml:space="preserve"> </w:t>
      </w:r>
    </w:p>
    <w:p>
      <w:pPr>
        <w:spacing w:before="0" w:after="0" w:line="259" w:lineRule="auto"/>
        <w:ind w:left="0" w:firstLine="0"/>
      </w:pPr>
      <w:r>
        <w:rPr/>
        <w:t xml:space="preserve"> </w:t>
      </w:r>
    </w:p>
    <w:p>
      <w:pPr>
        <w:spacing w:before="0" w:after="0" w:line="259" w:lineRule="auto"/>
        <w:ind w:left="-5"/>
      </w:pPr>
      <w:r>
        <w:rPr>
          <w:rFonts w:cs="Arial" w:hAnsi="Arial" w:eastAsia="Arial" w:ascii="Arial"/>
          <w:b w:val="1"/>
        </w:rPr>
        <w:t xml:space="preserve">Operational and Procedural Guidelines</w:t>
      </w:r>
      <w:r>
        <w:rPr/>
        <w:t xml:space="preserve"> </w:t>
      </w:r>
    </w:p>
    <w:p>
      <w:pPr>
        <w:spacing w:before="0" w:after="0" w:line="259" w:lineRule="auto"/>
        <w:ind w:left="0" w:firstLine="0"/>
      </w:pPr>
      <w:r>
        <w:rPr/>
        <w:t xml:space="preserve"> </w:t>
      </w:r>
    </w:p>
    <w:p>
      <w:pPr>
        <w:pStyle w:val="heading1"/>
        <w:spacing w:before="0" w:after="0" w:line="259" w:lineRule="auto"/>
        <w:ind w:left="-5"/>
      </w:pPr>
      <w:r>
        <w:rPr/>
        <w:t xml:space="preserve">Recording of Income</w:t>
      </w:r>
      <w:r>
        <w:rPr>
          <w:rFonts w:cs="Arial" w:hAnsi="Arial" w:eastAsia="Arial" w:ascii="Arial"/>
          <w:b w:val="0"/>
        </w:rPr>
        <w:t xml:space="preserve"> </w:t>
      </w:r>
    </w:p>
    <w:p>
      <w:pPr>
        <w:spacing w:before="0" w:after="0" w:line="259" w:lineRule="auto"/>
        <w:ind w:left="0" w:firstLine="0"/>
      </w:pPr>
      <w:r>
        <w:rPr/>
        <w:t xml:space="preserve"> </w:t>
      </w:r>
    </w:p>
    <w:p>
      <w:pPr>
        <w:pStyle w:val="normal"/>
        <w:numPr>
          <w:ilvl w:val="0"/>
          <w:numId w:val="3"/>
        </w:numPr>
        <w:spacing w:before="0" w:after="5" w:line="251" w:lineRule="auto"/>
        <w:ind w:right="35"/>
      </w:pPr>
      <w:r>
        <w:rPr/>
        <w:t xml:space="preserve">The Development Advisory Services (DAS) facility is cash controlled fund managed through the AX1 DP ledger, fund code 11999.</w:t>
      </w:r>
      <w:r>
        <w:rPr/>
        <w:t xml:space="preserve"> </w:t>
      </w:r>
    </w:p>
    <w:p>
      <w:pPr>
        <w:spacing w:before="0" w:after="0" w:line="259" w:lineRule="auto"/>
        <w:ind w:left="0" w:firstLine="0"/>
      </w:pPr>
      <w:r>
        <w:rPr/>
        <w:t xml:space="preserve"> </w:t>
      </w:r>
    </w:p>
    <w:p>
      <w:pPr>
        <w:pStyle w:val="normal"/>
        <w:numPr>
          <w:ilvl w:val="0"/>
          <w:numId w:val="3"/>
        </w:numPr>
        <w:spacing w:before="0" w:after="5" w:line="251" w:lineRule="auto"/>
        <w:ind w:right="35"/>
      </w:pPr>
      <w:r>
        <w:rPr/>
        <w:t xml:space="preserve">The facility can receive funds from a variety of sources noted above. However, once income is recorded in the DAS facility, it cannot be considered fungible and thus is not eligible for consideration for transfer for other purposes. </w:t>
      </w:r>
      <w:r>
        <w:rPr/>
        <w:t xml:space="preserve"> </w:t>
      </w:r>
    </w:p>
    <w:p>
      <w:pPr>
        <w:spacing w:before="0" w:after="0" w:line="259" w:lineRule="auto"/>
        <w:ind w:left="0" w:firstLine="0"/>
      </w:pPr>
      <w:r>
        <w:rPr/>
        <w:t xml:space="preserve"> </w:t>
      </w:r>
    </w:p>
    <w:p>
      <w:pPr>
        <w:pStyle w:val="normal"/>
        <w:numPr>
          <w:ilvl w:val="0"/>
          <w:numId w:val="3"/>
        </w:numPr>
        <w:spacing w:before="0" w:after="5" w:line="251" w:lineRule="auto"/>
        <w:ind w:right="35"/>
      </w:pPr>
      <w:r>
        <w:rPr/>
        <w:t xml:space="preserve">If Country Offices transfers unutilized cost sharing balances to the DAS facility, the following prerequisites apply: </w:t>
      </w:r>
      <w:r>
        <w:rPr/>
        <w:t xml:space="preserve"> </w:t>
      </w:r>
    </w:p>
    <w:p>
      <w:pPr>
        <w:pStyle w:val="normal"/>
        <w:numPr>
          <w:ilvl w:val="1"/>
          <w:numId w:val="3"/>
        </w:numPr>
        <w:spacing w:before="0" w:after="5" w:line="251" w:lineRule="auto"/>
        <w:ind w:left="2084" w:right="35" w:hanging="361"/>
      </w:pPr>
      <w:r>
        <w:rPr/>
        <w:t xml:space="preserve">Offices are to ensure that corresponding costs</w:t>
      </w:r>
      <w:r>
        <w:rPr/>
        <w:t xml:space="preserve">-</w:t>
      </w:r>
      <w:r>
        <w:rPr/>
        <w:t xml:space="preserve">sharing project is closed and there are no outstanding financial obligations or commitments; </w:t>
      </w:r>
      <w:r>
        <w:rPr/>
        <w:t xml:space="preserve"> </w:t>
      </w:r>
    </w:p>
    <w:p>
      <w:pPr>
        <w:pStyle w:val="normal"/>
        <w:numPr>
          <w:ilvl w:val="1"/>
          <w:numId w:val="3"/>
        </w:numPr>
        <w:spacing w:before="0" w:after="5" w:line="251" w:lineRule="auto"/>
        <w:ind w:left="2084" w:right="35" w:hanging="361"/>
      </w:pPr>
      <w:r>
        <w:rPr/>
        <w:t xml:space="preserve">Offices are to secure the concurrence of the donor in order to redeploy these funds to the DAS; </w:t>
      </w:r>
      <w:r>
        <w:rPr/>
        <w:t xml:space="preserve"> </w:t>
      </w:r>
    </w:p>
    <w:p>
      <w:pPr>
        <w:pStyle w:val="normal"/>
        <w:numPr>
          <w:ilvl w:val="1"/>
          <w:numId w:val="3"/>
        </w:numPr>
        <w:spacing w:before="0" w:after="51" w:line="251" w:lineRule="auto"/>
        <w:ind w:left="2084" w:right="35" w:hanging="361"/>
      </w:pPr>
      <w:r>
        <w:rPr/>
        <w:t xml:space="preserve">A General Ledger Journal Entry (GLJE) is raised based on the following model:</w:t>
      </w:r>
      <w:r>
        <w:rPr/>
        <w:t xml:space="preserve"> </w:t>
      </w:r>
    </w:p>
    <w:tbl>
      <w:tblPr>
        <w:tblStyle w:val="TableGrid"/>
        <w:tblW w:w="9070" w:type="dxa"/>
        <w:tblInd w:w="-20" w:type="dxa"/>
        <w:tblCellMar>
          <w:top w:w="10" w:type="dxa"/>
          <w:left w:w="0" w:type="dxa"/>
          <w:bottom w:w="0" w:type="dxa"/>
          <w:right w:w="14" w:type="dxa"/>
        </w:tblCellMar>
      </w:tblPr>
      <w:tblGrid>
        <w:gridCol w:w="447"/>
        <w:gridCol w:w="830"/>
        <w:gridCol w:w="1971"/>
        <w:gridCol w:w="926"/>
        <w:gridCol w:w="497"/>
        <w:gridCol w:w="475"/>
        <w:gridCol w:w="787"/>
        <w:gridCol w:w="3136"/>
      </w:tblGrid>
      <w:tr>
        <w:trPr>
          <w:trHeight w:val="274" w:hRule="atLeast"/>
        </w:trPr>
        <w:tc>
          <w:tcPr>
            <w:tcW w:w="447" w:type="dxa"/>
            <w:tcBorders>
              <w:top w:val="single" w:sz="6" w:color="000000"/>
              <w:left w:val="single" w:sz="6" w:color="000000"/>
              <w:bottom w:val="single" w:sz="6" w:color="000000"/>
              <w:right w:val="single" w:sz="6" w:color="000000"/>
            </w:tcBorders>
            <w:vAlign w:val="top"/>
          </w:tcPr>
          <w:p>
            <w:pPr>
              <w:spacing w:before="0" w:after="0" w:line="259" w:lineRule="auto"/>
              <w:ind w:left="20" w:firstLine="0"/>
              <w:jc w:val="both"/>
            </w:pPr>
            <w:r>
              <w:rPr>
                <w:rFonts w:cs="Arial" w:hAnsi="Arial" w:eastAsia="Arial" w:ascii="Arial"/>
                <w:b w:val="1"/>
              </w:rPr>
              <w:t xml:space="preserve">Line</w:t>
            </w:r>
          </w:p>
        </w:tc>
        <w:tc>
          <w:tcPr>
            <w:tcW w:w="830" w:type="dxa"/>
            <w:tcBorders>
              <w:top w:val="single" w:sz="6" w:color="000000"/>
              <w:left w:val="single" w:sz="6" w:color="000000"/>
              <w:bottom w:val="single" w:sz="6" w:color="000000"/>
              <w:right w:val="single" w:sz="6" w:color="000000"/>
            </w:tcBorders>
            <w:vAlign w:val="top"/>
          </w:tcPr>
          <w:p>
            <w:pPr>
              <w:spacing w:before="0" w:after="0" w:line="259" w:lineRule="auto"/>
              <w:ind w:left="-17" w:firstLine="0"/>
              <w:jc w:val="both"/>
            </w:pPr>
            <w:r>
              <w:rPr/>
              <w:t xml:space="preserve"> </w:t>
            </w:r>
            <w:r>
              <w:rPr>
                <w:rFonts w:cs="Arial" w:hAnsi="Arial" w:eastAsia="Arial" w:ascii="Arial"/>
                <w:b w:val="1"/>
              </w:rPr>
              <w:t xml:space="preserve">Account</w:t>
            </w:r>
          </w:p>
        </w:tc>
        <w:tc>
          <w:tcPr>
            <w:tcW w:w="1971" w:type="dxa"/>
            <w:tcBorders>
              <w:top w:val="single" w:sz="6" w:color="000000"/>
              <w:left w:val="single" w:sz="6" w:color="000000"/>
              <w:bottom w:val="single" w:sz="6" w:color="000000"/>
              <w:right w:val="single" w:sz="6" w:color="000000"/>
            </w:tcBorders>
            <w:vAlign w:val="top"/>
          </w:tcPr>
          <w:p>
            <w:pPr>
              <w:tabs>
                <w:tab w:val="center" w:pos="984"/>
              </w:tabs>
              <w:spacing w:before="0" w:after="0" w:line="259" w:lineRule="auto"/>
              <w:ind w:left="-17" w:firstLine="0"/>
            </w:pPr>
            <w:r>
              <w:rPr>
                <w:rFonts w:cs="Arial" w:hAnsi="Arial" w:eastAsia="Arial" w:ascii="Arial"/>
                <w:b w:val="1"/>
              </w:rPr>
              <w:t xml:space="preserve"> 	</w:t>
            </w:r>
            <w:r>
              <w:rPr>
                <w:rFonts w:cs="Arial" w:hAnsi="Arial" w:eastAsia="Arial" w:ascii="Arial"/>
                <w:b w:val="1"/>
              </w:rPr>
              <w:t xml:space="preserve">Fund </w:t>
            </w:r>
            <w:r>
              <w:rPr/>
              <w:t xml:space="preserve"> </w:t>
            </w:r>
          </w:p>
        </w:tc>
        <w:tc>
          <w:tcPr>
            <w:tcW w:w="926" w:type="dxa"/>
            <w:tcBorders>
              <w:top w:val="single" w:sz="6" w:color="000000"/>
              <w:left w:val="single" w:sz="6" w:color="000000"/>
              <w:bottom w:val="single" w:sz="6" w:color="000000"/>
              <w:right w:val="single" w:sz="6" w:color="000000"/>
            </w:tcBorders>
            <w:vAlign w:val="top"/>
          </w:tcPr>
          <w:p>
            <w:pPr>
              <w:spacing w:before="0" w:after="0" w:line="259" w:lineRule="auto"/>
              <w:ind w:left="122" w:firstLine="0"/>
            </w:pPr>
            <w:r>
              <w:rPr>
                <w:rFonts w:cs="Arial" w:hAnsi="Arial" w:eastAsia="Arial" w:ascii="Arial"/>
                <w:b w:val="1"/>
              </w:rPr>
              <w:t xml:space="preserve">Project</w:t>
            </w:r>
            <w:r>
              <w:rPr/>
              <w:t xml:space="preserve"> </w:t>
            </w:r>
          </w:p>
        </w:tc>
        <w:tc>
          <w:tcPr>
            <w:tcW w:w="497" w:type="dxa"/>
            <w:tcBorders>
              <w:top w:val="single" w:sz="6" w:color="000000"/>
              <w:left w:val="single" w:sz="6" w:color="000000"/>
              <w:bottom w:val="single" w:sz="6" w:color="000000"/>
              <w:right w:val="single" w:sz="6" w:color="000000"/>
            </w:tcBorders>
            <w:vAlign w:val="top"/>
          </w:tcPr>
          <w:p>
            <w:pPr>
              <w:spacing w:before="0" w:after="0" w:line="259" w:lineRule="auto"/>
              <w:ind w:left="17" w:firstLine="0"/>
              <w:jc w:val="both"/>
            </w:pPr>
            <w:r>
              <w:rPr>
                <w:rFonts w:cs="Arial" w:hAnsi="Arial" w:eastAsia="Arial" w:ascii="Arial"/>
                <w:b w:val="1"/>
              </w:rPr>
              <w:t xml:space="preserve">Oper</w:t>
            </w:r>
          </w:p>
        </w:tc>
        <w:tc>
          <w:tcPr>
            <w:tcW w:w="475" w:type="dxa"/>
            <w:tcBorders>
              <w:top w:val="single" w:sz="6" w:color="000000"/>
              <w:left w:val="single" w:sz="6" w:color="000000"/>
              <w:bottom w:val="single" w:sz="6" w:color="000000"/>
              <w:right w:val="single" w:sz="6" w:color="000000"/>
            </w:tcBorders>
            <w:vAlign w:val="top"/>
          </w:tcPr>
          <w:p>
            <w:pPr>
              <w:spacing w:before="0" w:after="0" w:line="259" w:lineRule="auto"/>
              <w:ind w:left="-15" w:firstLine="0"/>
              <w:jc w:val="both"/>
            </w:pPr>
            <w:r>
              <w:rPr>
                <w:rFonts w:cs="Arial" w:hAnsi="Arial" w:eastAsia="Arial" w:ascii="Arial"/>
                <w:b w:val="1"/>
              </w:rPr>
              <w:t xml:space="preserve"> Dept</w:t>
            </w:r>
          </w:p>
        </w:tc>
        <w:tc>
          <w:tcPr>
            <w:tcW w:w="787" w:type="dxa"/>
            <w:tcBorders>
              <w:top w:val="single" w:sz="6" w:color="000000"/>
              <w:left w:val="single" w:sz="6" w:color="000000"/>
              <w:bottom w:val="single" w:sz="6" w:color="000000"/>
              <w:right w:val="single" w:sz="6" w:color="000000"/>
            </w:tcBorders>
            <w:vAlign w:val="top"/>
          </w:tcPr>
          <w:p>
            <w:pPr>
              <w:spacing w:before="0" w:after="0" w:line="259" w:lineRule="auto"/>
              <w:ind w:left="-15" w:firstLine="0"/>
              <w:jc w:val="both"/>
            </w:pPr>
            <w:r>
              <w:rPr>
                <w:rFonts w:cs="Arial" w:hAnsi="Arial" w:eastAsia="Arial" w:ascii="Arial"/>
                <w:b w:val="1"/>
              </w:rPr>
              <w:t xml:space="preserve"> Amount</w:t>
            </w:r>
          </w:p>
        </w:tc>
        <w:tc>
          <w:tcPr>
            <w:tcW w:w="3136" w:type="dxa"/>
            <w:tcBorders>
              <w:top w:val="single" w:sz="6" w:color="000000"/>
              <w:left w:val="single" w:sz="6" w:color="000000"/>
              <w:bottom w:val="single" w:sz="6" w:color="000000"/>
              <w:right w:val="single" w:sz="6" w:color="000000"/>
            </w:tcBorders>
            <w:vAlign w:val="top"/>
          </w:tcPr>
          <w:p>
            <w:pPr>
              <w:tabs>
                <w:tab w:val="center" w:pos="1565"/>
              </w:tabs>
              <w:spacing w:before="0" w:after="0" w:line="259" w:lineRule="auto"/>
              <w:ind w:left="-14" w:firstLine="0"/>
            </w:pPr>
            <w:r>
              <w:rPr/>
              <w:t xml:space="preserve"> 	</w:t>
            </w:r>
            <w:r>
              <w:rPr>
                <w:rFonts w:cs="Arial" w:hAnsi="Arial" w:eastAsia="Arial" w:ascii="Arial"/>
                <w:b w:val="1"/>
              </w:rPr>
              <w:t xml:space="preserve">Comment</w:t>
            </w:r>
            <w:r>
              <w:rPr/>
              <w:t xml:space="preserve"> </w:t>
            </w:r>
          </w:p>
        </w:tc>
      </w:tr>
      <w:tr>
        <w:trPr>
          <w:trHeight w:val="506" w:hRule="atLeast"/>
        </w:trPr>
        <w:tc>
          <w:tcPr>
            <w:tcW w:w="447" w:type="dxa"/>
            <w:tcBorders>
              <w:top w:val="single" w:sz="6" w:color="000000"/>
              <w:left w:val="single" w:sz="6" w:color="000000"/>
              <w:bottom w:val="single" w:sz="6" w:color="000000"/>
              <w:right w:val="single" w:sz="6" w:color="000000"/>
            </w:tcBorders>
            <w:vAlign w:val="center"/>
          </w:tcPr>
          <w:p>
            <w:pPr>
              <w:spacing w:before="0" w:after="0" w:line="259" w:lineRule="auto"/>
              <w:ind w:left="20" w:firstLine="0"/>
            </w:pPr>
            <w:r>
              <w:rPr/>
              <w:t xml:space="preserve">1</w:t>
            </w:r>
            <w:r>
              <w:rPr/>
              <w:t xml:space="preserve"> </w:t>
            </w:r>
          </w:p>
        </w:tc>
        <w:tc>
          <w:tcPr>
            <w:tcW w:w="830" w:type="dxa"/>
            <w:tcBorders>
              <w:top w:val="single" w:sz="6" w:color="000000"/>
              <w:left w:val="single" w:sz="6" w:color="000000"/>
              <w:bottom w:val="single" w:sz="6" w:color="000000"/>
              <w:right w:val="single" w:sz="6" w:color="000000"/>
            </w:tcBorders>
            <w:vAlign w:val="center"/>
          </w:tcPr>
          <w:p>
            <w:pPr>
              <w:spacing w:before="0" w:after="0" w:line="259" w:lineRule="auto"/>
              <w:ind w:left="14" w:firstLine="0"/>
            </w:pPr>
            <w:r>
              <w:rPr/>
              <w:t xml:space="preserve">51035</w:t>
            </w:r>
            <w:r>
              <w:rPr/>
              <w:t xml:space="preserve"> </w:t>
            </w:r>
          </w:p>
        </w:tc>
        <w:tc>
          <w:tcPr>
            <w:tcW w:w="1971" w:type="dxa"/>
            <w:tcBorders>
              <w:top w:val="single" w:sz="6" w:color="000000"/>
              <w:left w:val="single" w:sz="6" w:color="000000"/>
              <w:bottom w:val="single" w:sz="6" w:color="000000"/>
              <w:right w:val="single" w:sz="6" w:color="000000"/>
            </w:tcBorders>
            <w:vAlign w:val="top"/>
          </w:tcPr>
          <w:p>
            <w:pPr>
              <w:spacing w:before="0" w:after="0" w:line="259" w:lineRule="auto"/>
              <w:ind w:left="14" w:firstLine="0"/>
            </w:pPr>
            <w:r>
              <w:rPr/>
              <w:t xml:space="preserve">As per cost sharing project fund</w:t>
            </w:r>
            <w:r>
              <w:rPr/>
              <w:t xml:space="preserve"> </w:t>
            </w:r>
          </w:p>
        </w:tc>
        <w:tc>
          <w:tcPr>
            <w:tcW w:w="926" w:type="dxa"/>
            <w:tcBorders>
              <w:top w:val="single" w:sz="6" w:color="000000"/>
              <w:left w:val="single" w:sz="6" w:color="000000"/>
              <w:bottom w:val="single" w:sz="6" w:color="000000"/>
              <w:right w:val="single" w:sz="6" w:color="000000"/>
            </w:tcBorders>
            <w:vAlign w:val="top"/>
          </w:tcPr>
          <w:p>
            <w:pPr>
              <w:spacing w:before="0" w:after="0" w:line="259" w:lineRule="auto"/>
              <w:ind w:left="14" w:firstLine="0"/>
            </w:pPr>
            <w:r>
              <w:rPr/>
              <w:t xml:space="preserve">your project</w:t>
            </w:r>
            <w:r>
              <w:rPr/>
              <w:t xml:space="preserve"> </w:t>
            </w:r>
          </w:p>
        </w:tc>
        <w:tc>
          <w:tcPr>
            <w:tcW w:w="497" w:type="dxa"/>
            <w:tcBorders>
              <w:top w:val="single" w:sz="6" w:color="000000"/>
              <w:left w:val="single" w:sz="6" w:color="000000"/>
              <w:bottom w:val="single" w:sz="6" w:color="000000"/>
              <w:right w:val="single" w:sz="6" w:color="000000"/>
            </w:tcBorders>
            <w:vAlign w:val="center"/>
          </w:tcPr>
          <w:p>
            <w:pPr>
              <w:spacing w:before="0" w:after="0" w:line="259" w:lineRule="auto"/>
              <w:ind w:left="17" w:firstLine="0"/>
            </w:pPr>
            <w:r>
              <w:rPr/>
              <w:t xml:space="preserve">CO</w:t>
            </w:r>
            <w:r>
              <w:rPr/>
              <w:t xml:space="preserve"> </w:t>
            </w:r>
          </w:p>
        </w:tc>
        <w:tc>
          <w:tcPr>
            <w:tcW w:w="475" w:type="dxa"/>
            <w:tcBorders>
              <w:top w:val="single" w:sz="6" w:color="000000"/>
              <w:left w:val="single" w:sz="6" w:color="000000"/>
              <w:bottom w:val="single" w:sz="6" w:color="000000"/>
              <w:right w:val="single" w:sz="6" w:color="000000"/>
            </w:tcBorders>
            <w:vAlign w:val="center"/>
          </w:tcPr>
          <w:p>
            <w:pPr>
              <w:spacing w:before="0" w:after="0" w:line="259" w:lineRule="auto"/>
              <w:ind w:left="17" w:firstLine="0"/>
              <w:jc w:val="both"/>
            </w:pPr>
            <w:r>
              <w:rPr/>
              <w:t xml:space="preserve">CO</w:t>
            </w:r>
            <w:r>
              <w:rPr/>
              <w:t xml:space="preserve"> </w:t>
            </w:r>
          </w:p>
        </w:tc>
        <w:tc>
          <w:tcPr>
            <w:tcW w:w="787" w:type="dxa"/>
            <w:tcBorders>
              <w:top w:val="single" w:sz="6" w:color="000000"/>
              <w:left w:val="single" w:sz="6" w:color="000000"/>
              <w:bottom w:val="single" w:sz="6" w:color="000000"/>
              <w:right w:val="single" w:sz="6" w:color="000000"/>
            </w:tcBorders>
            <w:vAlign w:val="center"/>
          </w:tcPr>
          <w:p>
            <w:pPr>
              <w:spacing w:before="0" w:after="0" w:line="259" w:lineRule="auto"/>
              <w:ind w:left="17" w:firstLine="0"/>
            </w:pPr>
            <w:r>
              <w:rPr/>
              <w:t xml:space="preserve">TBD</w:t>
            </w:r>
            <w:r>
              <w:rPr/>
              <w:t xml:space="preserve"> </w:t>
            </w:r>
          </w:p>
        </w:tc>
        <w:tc>
          <w:tcPr>
            <w:tcW w:w="3136" w:type="dxa"/>
            <w:tcBorders>
              <w:top w:val="single" w:sz="6" w:color="000000"/>
              <w:left w:val="single" w:sz="6" w:color="000000"/>
              <w:bottom w:val="single" w:sz="6" w:color="000000"/>
              <w:right w:val="single" w:sz="6" w:color="000000"/>
            </w:tcBorders>
            <w:vAlign w:val="top"/>
          </w:tcPr>
          <w:p>
            <w:pPr>
              <w:spacing w:before="0" w:after="0" w:line="259" w:lineRule="auto"/>
              <w:ind w:left="14" w:firstLine="0"/>
            </w:pPr>
            <w:r>
              <w:rPr/>
              <w:t xml:space="preserve">DEBIT to cost sharing balances to redeploy as DAS</w:t>
            </w:r>
            <w:r>
              <w:rPr/>
              <w:t xml:space="preserve"> </w:t>
            </w:r>
          </w:p>
        </w:tc>
      </w:tr>
      <w:tr>
        <w:trPr>
          <w:trHeight w:val="506" w:hRule="atLeast"/>
        </w:trPr>
        <w:tc>
          <w:tcPr>
            <w:tcW w:w="447" w:type="dxa"/>
            <w:tcBorders>
              <w:top w:val="single" w:sz="6" w:color="000000"/>
              <w:left w:val="single" w:sz="6" w:color="000000"/>
              <w:bottom w:val="single" w:sz="6" w:color="000000"/>
              <w:right w:val="single" w:sz="6" w:color="000000"/>
            </w:tcBorders>
            <w:vAlign w:val="center"/>
          </w:tcPr>
          <w:p>
            <w:pPr>
              <w:spacing w:before="0" w:after="0" w:line="259" w:lineRule="auto"/>
              <w:ind w:left="20" w:firstLine="0"/>
            </w:pPr>
            <w:r>
              <w:rPr/>
              <w:t xml:space="preserve">2</w:t>
            </w:r>
            <w:r>
              <w:rPr/>
              <w:t xml:space="preserve"> </w:t>
            </w:r>
          </w:p>
        </w:tc>
        <w:tc>
          <w:tcPr>
            <w:tcW w:w="830" w:type="dxa"/>
            <w:tcBorders>
              <w:top w:val="single" w:sz="6" w:color="000000"/>
              <w:left w:val="single" w:sz="6" w:color="000000"/>
              <w:bottom w:val="single" w:sz="6" w:color="000000"/>
              <w:right w:val="single" w:sz="6" w:color="000000"/>
            </w:tcBorders>
            <w:vAlign w:val="center"/>
          </w:tcPr>
          <w:p>
            <w:pPr>
              <w:spacing w:before="0" w:after="0" w:line="259" w:lineRule="auto"/>
              <w:ind w:left="14" w:firstLine="0"/>
            </w:pPr>
            <w:r>
              <w:rPr/>
              <w:t xml:space="preserve">51035</w:t>
            </w:r>
            <w:r>
              <w:rPr/>
              <w:t xml:space="preserve"> </w:t>
            </w:r>
          </w:p>
        </w:tc>
        <w:tc>
          <w:tcPr>
            <w:tcW w:w="1971" w:type="dxa"/>
            <w:tcBorders>
              <w:top w:val="single" w:sz="6" w:color="000000"/>
              <w:left w:val="single" w:sz="6" w:color="000000"/>
              <w:bottom w:val="single" w:sz="6" w:color="000000"/>
              <w:right w:val="single" w:sz="6" w:color="000000"/>
            </w:tcBorders>
            <w:vAlign w:val="center"/>
          </w:tcPr>
          <w:p>
            <w:pPr>
              <w:spacing w:before="0" w:after="0" w:line="259" w:lineRule="auto"/>
              <w:ind w:left="14" w:firstLine="0"/>
            </w:pPr>
            <w:r>
              <w:rPr/>
              <w:t xml:space="preserve">11999 </w:t>
            </w:r>
            <w:r>
              <w:rPr/>
              <w:t xml:space="preserve"> </w:t>
            </w:r>
          </w:p>
        </w:tc>
        <w:tc>
          <w:tcPr>
            <w:tcW w:w="926" w:type="dxa"/>
            <w:tcBorders>
              <w:top w:val="single" w:sz="6" w:color="000000"/>
              <w:left w:val="single" w:sz="6" w:color="000000"/>
              <w:bottom w:val="single" w:sz="6" w:color="000000"/>
              <w:right w:val="single" w:sz="6" w:color="000000"/>
            </w:tcBorders>
            <w:vAlign w:val="center"/>
          </w:tcPr>
          <w:p>
            <w:pPr>
              <w:spacing w:before="0" w:after="0" w:line="259" w:lineRule="auto"/>
              <w:ind w:left="14" w:firstLine="0"/>
            </w:pPr>
            <w:r>
              <w:rPr/>
              <w:t xml:space="preserve">n/a</w:t>
            </w:r>
            <w:r>
              <w:rPr/>
              <w:t xml:space="preserve"> </w:t>
            </w:r>
          </w:p>
        </w:tc>
        <w:tc>
          <w:tcPr>
            <w:tcW w:w="497" w:type="dxa"/>
            <w:tcBorders>
              <w:top w:val="single" w:sz="6" w:color="000000"/>
              <w:left w:val="single" w:sz="6" w:color="000000"/>
              <w:bottom w:val="single" w:sz="6" w:color="000000"/>
              <w:right w:val="single" w:sz="6" w:color="000000"/>
            </w:tcBorders>
            <w:vAlign w:val="center"/>
          </w:tcPr>
          <w:p>
            <w:pPr>
              <w:spacing w:before="0" w:after="0" w:line="259" w:lineRule="auto"/>
              <w:ind w:left="17" w:firstLine="0"/>
            </w:pPr>
            <w:r>
              <w:rPr/>
              <w:t xml:space="preserve">CO</w:t>
            </w:r>
            <w:r>
              <w:rPr/>
              <w:t xml:space="preserve"> </w:t>
            </w:r>
          </w:p>
        </w:tc>
        <w:tc>
          <w:tcPr>
            <w:tcW w:w="475" w:type="dxa"/>
            <w:tcBorders>
              <w:top w:val="single" w:sz="6" w:color="000000"/>
              <w:left w:val="single" w:sz="6" w:color="000000"/>
              <w:bottom w:val="single" w:sz="6" w:color="000000"/>
              <w:right w:val="single" w:sz="6" w:color="000000"/>
            </w:tcBorders>
            <w:vAlign w:val="center"/>
          </w:tcPr>
          <w:p>
            <w:pPr>
              <w:spacing w:before="0" w:after="0" w:line="259" w:lineRule="auto"/>
              <w:ind w:left="17" w:firstLine="0"/>
              <w:jc w:val="both"/>
            </w:pPr>
            <w:r>
              <w:rPr/>
              <w:t xml:space="preserve">CO</w:t>
            </w:r>
            <w:r>
              <w:rPr/>
              <w:t xml:space="preserve"> </w:t>
            </w:r>
          </w:p>
        </w:tc>
        <w:tc>
          <w:tcPr>
            <w:tcW w:w="787" w:type="dxa"/>
            <w:tcBorders>
              <w:top w:val="single" w:sz="6" w:color="000000"/>
              <w:left w:val="single" w:sz="6" w:color="000000"/>
              <w:bottom w:val="single" w:sz="6" w:color="000000"/>
              <w:right w:val="single" w:sz="6" w:color="000000"/>
            </w:tcBorders>
            <w:vAlign w:val="center"/>
          </w:tcPr>
          <w:p>
            <w:pPr>
              <w:spacing w:before="0" w:after="0" w:line="259" w:lineRule="auto"/>
              <w:ind w:left="17" w:firstLine="0"/>
            </w:pPr>
            <w:r>
              <w:rPr/>
              <w:t xml:space="preserve">TBD</w:t>
            </w:r>
            <w:r>
              <w:rPr/>
              <w:t xml:space="preserve"> </w:t>
            </w:r>
          </w:p>
        </w:tc>
        <w:tc>
          <w:tcPr>
            <w:tcW w:w="3136" w:type="dxa"/>
            <w:tcBorders>
              <w:top w:val="single" w:sz="6" w:color="000000"/>
              <w:left w:val="single" w:sz="6" w:color="000000"/>
              <w:bottom w:val="single" w:sz="6" w:color="000000"/>
              <w:right w:val="single" w:sz="6" w:color="000000"/>
            </w:tcBorders>
            <w:vAlign w:val="top"/>
          </w:tcPr>
          <w:p>
            <w:pPr>
              <w:spacing w:before="0" w:after="0" w:line="259" w:lineRule="auto"/>
              <w:ind w:left="14" w:firstLine="0"/>
            </w:pPr>
            <w:r>
              <w:rPr/>
              <w:t xml:space="preserve">CREDIT to DAS facility from CS balances</w:t>
            </w:r>
            <w:r>
              <w:rPr/>
              <w:t xml:space="preserve"> </w:t>
            </w:r>
          </w:p>
        </w:tc>
      </w:tr>
      <w:tr>
        <w:trPr>
          <w:trHeight w:val="236" w:hRule="atLeast"/>
        </w:trPr>
        <w:tc>
          <w:tcPr>
            <w:tcW w:w="3248" w:type="dxa"/>
            <w:gridSpan w:val="3"/>
            <w:tcBorders>
              <w:top w:val="single" w:sz="6" w:color="000000"/>
              <w:left w:val="nil"/>
              <w:bottom w:val="nil"/>
              <w:right w:val="nil"/>
            </w:tcBorders>
            <w:shd w:val="clear" w:fill="ffffff"/>
            <w:vAlign w:val="top"/>
          </w:tcPr>
          <w:p>
            <w:pPr>
              <w:spacing w:before="0" w:after="0" w:line="259" w:lineRule="auto"/>
              <w:ind w:left="20" w:firstLine="0"/>
            </w:pPr>
            <w:r>
              <w:rPr/>
              <w:t xml:space="preserve"> </w:t>
            </w:r>
          </w:p>
        </w:tc>
        <w:tc>
          <w:tcPr>
            <w:tcW w:w="5822" w:type="dxa"/>
            <w:gridSpan w:val="5"/>
            <w:tcBorders>
              <w:top w:val="single" w:sz="6" w:color="000000"/>
              <w:left w:val="nil"/>
              <w:bottom w:val="nil"/>
              <w:right w:val="nil"/>
            </w:tcBorders>
            <w:shd w:val="clear" w:fill="ffffff"/>
            <w:vAlign w:val="top"/>
          </w:tcPr>
          <w:p>
            <w:pPr>
              <w:bidi w:val="0"/>
              <w:spacing w:before="0" w:after="160" w:line="259" w:lineRule="auto"/>
              <w:ind w:left="0" w:right="0" w:firstLine="0"/>
              <w:jc w:val="left"/>
            </w:pPr>
          </w:p>
        </w:tc>
      </w:tr>
    </w:tbl>
    <w:p>
      <w:pPr>
        <w:spacing w:before="0" w:after="0" w:line="259" w:lineRule="auto"/>
        <w:ind w:left="0" w:firstLine="0"/>
      </w:pPr>
      <w:r>
        <w:rPr/>
        <w:t xml:space="preserve"> </w:t>
      </w:r>
    </w:p>
    <w:p>
      <w:pPr>
        <w:pStyle w:val="normal"/>
        <w:numPr>
          <w:ilvl w:val="0"/>
          <w:numId w:val="3"/>
        </w:numPr>
        <w:spacing w:before="0" w:after="5" w:line="251" w:lineRule="auto"/>
        <w:ind w:right="35"/>
      </w:pPr>
      <w:r>
        <w:rPr/>
        <w:t xml:space="preserve">In cases where the Country Office successfully mobilizes government or third party cost</w:t>
      </w:r>
      <w:r>
        <w:rPr/>
        <w:t xml:space="preserve">-</w:t>
      </w:r>
      <w:r>
        <w:rPr/>
        <w:t xml:space="preserve">sharing contributions towards the DAS, upon receipt of the contribution, offices are to apply the contribution to Fund 11999 using the Accounts Receivable module in Atlas. It must be emphasized that regular GMS charges will apply to the contribution, as per cost recovery policy.</w:t>
      </w:r>
      <w:r>
        <w:rPr/>
        <w:t xml:space="preserve"> </w:t>
      </w:r>
    </w:p>
    <w:p>
      <w:pPr>
        <w:spacing w:before="0" w:after="0" w:line="259" w:lineRule="auto"/>
        <w:ind w:left="0" w:firstLine="0"/>
      </w:pPr>
      <w:r>
        <w:rPr/>
        <w:t xml:space="preserve"> </w:t>
      </w:r>
    </w:p>
    <w:p>
      <w:pPr>
        <w:pStyle w:val="heading1"/>
        <w:spacing w:before="0" w:after="0" w:line="259" w:lineRule="auto"/>
        <w:ind w:left="-5"/>
      </w:pPr>
      <w:r>
        <w:rPr/>
        <w:t xml:space="preserve">Project Set up</w:t>
      </w:r>
      <w:r>
        <w:rPr>
          <w:rFonts w:cs="Arial" w:hAnsi="Arial" w:eastAsia="Arial" w:ascii="Arial"/>
          <w:b w:val="0"/>
        </w:rPr>
        <w:t xml:space="preserve"> </w:t>
      </w:r>
    </w:p>
    <w:p>
      <w:pPr>
        <w:spacing w:before="0" w:after="0" w:line="259" w:lineRule="auto"/>
        <w:ind w:left="0" w:firstLine="0"/>
      </w:pPr>
      <w:r>
        <w:rPr/>
        <w:t xml:space="preserve"> </w:t>
      </w:r>
    </w:p>
    <w:p>
      <w:pPr>
        <w:pStyle w:val="normal"/>
        <w:spacing w:before="0" w:after="5" w:line="251" w:lineRule="auto"/>
        <w:ind w:left="-5" w:right="35"/>
      </w:pPr>
      <w:r>
        <w:rPr/>
        <w:t xml:space="preserve">9. Based on actual income recorded in the Development Advisory Services facility and as requested by the Country Office, the Country Office can set up a development project(s) using the following COA: </w:t>
      </w:r>
      <w:r>
        <w:rPr/>
        <w:t xml:space="preserve"> </w:t>
      </w:r>
    </w:p>
    <w:p>
      <w:pPr>
        <w:pStyle w:val="normal"/>
        <w:spacing w:before="0" w:after="5" w:line="251" w:lineRule="auto"/>
        <w:ind w:left="-5" w:right="35"/>
      </w:pPr>
      <w:r>
        <w:rPr/>
        <w:t xml:space="preserve">YEAR: Current Year</w:t>
      </w:r>
      <w:r>
        <w:rPr/>
        <w:t xml:space="preserve"> </w:t>
      </w:r>
    </w:p>
    <w:p>
      <w:pPr>
        <w:pStyle w:val="normal"/>
        <w:spacing w:before="0" w:after="5" w:line="251" w:lineRule="auto"/>
        <w:ind w:left="-5" w:right="35"/>
      </w:pPr>
      <w:r>
        <w:rPr/>
        <w:t xml:space="preserve">FUND: 11999</w:t>
      </w:r>
      <w:r>
        <w:rPr/>
        <w:t xml:space="preserve"> </w:t>
      </w:r>
    </w:p>
    <w:p>
      <w:pPr>
        <w:pStyle w:val="normal"/>
        <w:spacing w:before="0" w:after="5" w:line="251" w:lineRule="auto"/>
        <w:ind w:left="-5" w:right="35"/>
      </w:pPr>
      <w:r>
        <w:rPr/>
        <w:t xml:space="preserve">OP UNIT: Country Office Code</w:t>
      </w:r>
      <w:r>
        <w:rPr/>
        <w:t xml:space="preserve"> </w:t>
      </w:r>
    </w:p>
    <w:p>
      <w:pPr>
        <w:pStyle w:val="normal"/>
        <w:spacing w:before="0" w:after="5" w:line="251" w:lineRule="auto"/>
        <w:ind w:left="-5" w:right="35"/>
      </w:pPr>
      <w:r>
        <w:rPr/>
        <w:t xml:space="preserve">PROJECT: To be created by CO</w:t>
      </w:r>
      <w:r>
        <w:rPr/>
        <w:t xml:space="preserve"> </w:t>
      </w:r>
    </w:p>
    <w:p>
      <w:pPr>
        <w:pStyle w:val="normal"/>
        <w:spacing w:before="0" w:after="5" w:line="251" w:lineRule="auto"/>
        <w:ind w:left="-5" w:right="35"/>
      </w:pPr>
      <w:r>
        <w:rPr/>
        <w:t xml:space="preserve">IMPL. AGENT: UNDP</w:t>
      </w:r>
      <w:r>
        <w:rPr/>
        <w:t xml:space="preserve"> </w:t>
      </w:r>
    </w:p>
    <w:p>
      <w:pPr>
        <w:pStyle w:val="normal"/>
        <w:spacing w:before="0" w:after="5" w:line="251" w:lineRule="auto"/>
        <w:ind w:left="-5" w:right="35"/>
      </w:pPr>
      <w:r>
        <w:rPr/>
        <w:t xml:space="preserve">DONOR: 00012</w:t>
      </w:r>
      <w:r>
        <w:rPr/>
        <w:t xml:space="preserve"> </w:t>
      </w:r>
    </w:p>
    <w:p>
      <w:pPr>
        <w:spacing w:before="0" w:after="0" w:line="259" w:lineRule="auto"/>
        <w:ind w:left="0" w:firstLine="0"/>
      </w:pPr>
      <w:r>
        <w:rPr/>
        <w:t xml:space="preserve"> </w:t>
      </w:r>
    </w:p>
    <w:p>
      <w:pPr>
        <w:pStyle w:val="heading1"/>
        <w:spacing w:before="0" w:after="0" w:line="259" w:lineRule="auto"/>
        <w:ind w:left="-5"/>
      </w:pPr>
      <w:r>
        <w:rPr/>
        <w:t xml:space="preserve">Monitoring and Reporting of Income and Expenditure</w:t>
      </w:r>
      <w:r>
        <w:rPr>
          <w:rFonts w:cs="Arial" w:hAnsi="Arial" w:eastAsia="Arial" w:ascii="Arial"/>
          <w:b w:val="0"/>
        </w:rPr>
        <w:t xml:space="preserve"> </w:t>
      </w:r>
    </w:p>
    <w:p>
      <w:pPr>
        <w:spacing w:before="0" w:after="0" w:line="259" w:lineRule="auto"/>
        <w:ind w:left="0" w:firstLine="0"/>
      </w:pPr>
      <w:r>
        <w:rPr/>
        <w:t xml:space="preserve"> </w:t>
      </w:r>
    </w:p>
    <w:p>
      <w:pPr>
        <w:pStyle w:val="normal"/>
        <w:spacing w:before="0" w:after="5" w:line="251" w:lineRule="auto"/>
        <w:ind w:left="-5" w:right="35"/>
      </w:pPr>
      <w:r>
        <w:rPr/>
        <w:t xml:space="preserve">10. As for any other funds, Country Offices can monitor both their DAS income and their DAS expenditures through the Atlas Executive Snapshot as well as through relevant Atlas fund level reports.</w:t>
      </w:r>
      <w:r>
        <w:rPr/>
        <w:t xml:space="preserve"> </w:t>
      </w:r>
    </w:p>
    <w:p>
      <w:pPr>
        <w:spacing w:before="0" w:after="0" w:line="259" w:lineRule="auto"/>
        <w:ind w:left="0" w:firstLine="0"/>
      </w:pPr>
      <w:r>
        <w:rPr/>
        <w:t xml:space="preserve"> </w:t>
      </w:r>
    </w:p>
    <w:p>
      <w:pPr>
        <w:pStyle w:val="heading1"/>
        <w:spacing w:before="0" w:after="0" w:line="259" w:lineRule="auto"/>
        <w:ind w:left="-5"/>
      </w:pPr>
      <w:r>
        <w:rPr/>
        <w:t xml:space="preserve">Substantive Reporting of Results</w:t>
      </w:r>
      <w:r>
        <w:rPr>
          <w:rFonts w:cs="Arial" w:hAnsi="Arial" w:eastAsia="Arial" w:ascii="Arial"/>
          <w:b w:val="0"/>
        </w:rPr>
        <w:t xml:space="preserve"> </w:t>
      </w:r>
    </w:p>
    <w:p>
      <w:pPr>
        <w:spacing w:before="0" w:after="18" w:line="259" w:lineRule="auto"/>
        <w:ind w:left="0" w:firstLine="0"/>
      </w:pPr>
      <w:r>
        <w:rPr/>
        <w:t xml:space="preserve"> </w:t>
      </w:r>
    </w:p>
    <w:p>
      <w:pPr>
        <w:pStyle w:val="normal"/>
        <w:spacing w:before="0" w:after="5" w:line="251" w:lineRule="auto"/>
        <w:ind w:left="-5" w:right="35"/>
      </w:pPr>
      <w:r>
        <w:rPr/>
        <w:t xml:space="preserve">11. CO’s should report their activities and results achieved through the DAS facility in the ROAR.</w:t>
      </w:r>
      <w:r>
        <w:rPr/>
        <w:t xml:space="preserve"> </w:t>
      </w:r>
    </w:p>
    <w:p>
      <w:pPr>
        <w:spacing w:before="0" w:after="182" w:line="259" w:lineRule="auto"/>
        <w:ind w:left="0" w:firstLine="0"/>
      </w:pPr>
      <w:r>
        <w:rPr/>
        <w:t xml:space="preserve"> </w:t>
      </w:r>
    </w:p>
    <w:p>
      <w:pPr>
        <w:spacing w:before="0" w:after="0" w:line="259" w:lineRule="auto"/>
        <w:ind w:left="0" w:firstLine="0"/>
      </w:pPr>
      <w:r>
        <w:rPr>
          <w:rFonts w:cs="Calibri" w:hAnsi="Calibri" w:eastAsia="Calibri" w:ascii="Calibri"/>
          <w:color w:val="000000"/>
          <w:sz w:val="22"/>
        </w:rPr>
        <w:t xml:space="preserve"> </w:t>
      </w:r>
    </w:p>
    <w:sectPr>
      <w:pgSz w:w="11909" w:h="16834" w:orient="portrait"/>
      <w:pgMar w:left="1440" w:top="1444" w:right="1379" w:bottom="1639"/>
      <w:cols/>
    </w:sectPr>
  </w:body>
</w:document>
</file>

<file path=word/numbering.xml><?xml version="1.0" encoding="utf-8"?>
<w:numbering xmlns:mc="http://schemas.openxmlformats.org/markup-compatibility/2006" xmlns:w14="http://schemas.microsoft.com/office/word/2010/wordml" xmlns:wp14="http://schemas.microsoft.com/office/word/2010/wordml" xmlns:w="http://schemas.openxmlformats.org/wordprocessingml/2006/main" mc:Ignorable="w14 wp14">
  <w:abstractNum w:abstractNumId="0">
    <w:multiLevelType w:val="hybridMultilevel"/>
    <w:lvl w:ilvl="0">
      <w:start w:val="2"/>
      <w:numFmt w:val="decimal"/>
      <w:lvlText w:val="%1."/>
      <w:pPr>
        <w:ind w:left="10"/>
      </w:pPr>
      <w:rPr>
        <w:rFonts w:cs="Arial" w:hAnsi="Arial" w:eastAsia="Arial" w:ascii="Arial"/>
        <w:b w:val="0"/>
        <w:i w:val="0"/>
        <w:strike w:val="0"/>
        <w:dstrike w:val="0"/>
        <w:color w:val="333333"/>
        <w:sz w:val="20"/>
        <w:szCs w:val="20"/>
        <w:u w:val="none" w:color="000000"/>
        <w:bdr w:val="none"/>
        <w:shd w:val="clear"/>
        <w:vertAlign w:val="baseline"/>
      </w:rPr>
    </w:lvl>
    <w:lvl w:ilvl="1">
      <w:start w:val="1"/>
      <w:numFmt w:val="lowerLetter"/>
      <w:lvlText w:val="%2"/>
      <w:pPr>
        <w:ind w:left="1080"/>
      </w:pPr>
      <w:rPr>
        <w:rFonts w:cs="Arial" w:hAnsi="Arial" w:eastAsia="Arial" w:ascii="Arial"/>
        <w:b w:val="0"/>
        <w:i w:val="0"/>
        <w:strike w:val="0"/>
        <w:dstrike w:val="0"/>
        <w:color w:val="333333"/>
        <w:sz w:val="20"/>
        <w:szCs w:val="20"/>
        <w:u w:val="none" w:color="000000"/>
        <w:bdr w:val="none"/>
        <w:shd w:val="clear"/>
        <w:vertAlign w:val="baseline"/>
      </w:rPr>
    </w:lvl>
    <w:lvl w:ilvl="2">
      <w:start w:val="1"/>
      <w:numFmt w:val="lowerRoman"/>
      <w:lvlText w:val="%3"/>
      <w:pPr>
        <w:ind w:left="1800"/>
      </w:pPr>
      <w:rPr>
        <w:rFonts w:cs="Arial" w:hAnsi="Arial" w:eastAsia="Arial" w:ascii="Arial"/>
        <w:b w:val="0"/>
        <w:i w:val="0"/>
        <w:strike w:val="0"/>
        <w:dstrike w:val="0"/>
        <w:color w:val="333333"/>
        <w:sz w:val="20"/>
        <w:szCs w:val="20"/>
        <w:u w:val="none" w:color="000000"/>
        <w:bdr w:val="none"/>
        <w:shd w:val="clear"/>
        <w:vertAlign w:val="baseline"/>
      </w:rPr>
    </w:lvl>
    <w:lvl w:ilvl="3">
      <w:start w:val="1"/>
      <w:numFmt w:val="decimal"/>
      <w:lvlText w:val="%4"/>
      <w:pPr>
        <w:ind w:left="2520"/>
      </w:pPr>
      <w:rPr>
        <w:rFonts w:cs="Arial" w:hAnsi="Arial" w:eastAsia="Arial" w:ascii="Arial"/>
        <w:b w:val="0"/>
        <w:i w:val="0"/>
        <w:strike w:val="0"/>
        <w:dstrike w:val="0"/>
        <w:color w:val="333333"/>
        <w:sz w:val="20"/>
        <w:szCs w:val="20"/>
        <w:u w:val="none" w:color="000000"/>
        <w:bdr w:val="none"/>
        <w:shd w:val="clear"/>
        <w:vertAlign w:val="baseline"/>
      </w:rPr>
    </w:lvl>
    <w:lvl w:ilvl="4">
      <w:start w:val="1"/>
      <w:numFmt w:val="lowerLetter"/>
      <w:lvlText w:val="%5"/>
      <w:pPr>
        <w:ind w:left="3240"/>
      </w:pPr>
      <w:rPr>
        <w:rFonts w:cs="Arial" w:hAnsi="Arial" w:eastAsia="Arial" w:ascii="Arial"/>
        <w:b w:val="0"/>
        <w:i w:val="0"/>
        <w:strike w:val="0"/>
        <w:dstrike w:val="0"/>
        <w:color w:val="333333"/>
        <w:sz w:val="20"/>
        <w:szCs w:val="20"/>
        <w:u w:val="none" w:color="000000"/>
        <w:bdr w:val="none"/>
        <w:shd w:val="clear"/>
        <w:vertAlign w:val="baseline"/>
      </w:rPr>
    </w:lvl>
    <w:lvl w:ilvl="5">
      <w:start w:val="1"/>
      <w:numFmt w:val="lowerRoman"/>
      <w:lvlText w:val="%6"/>
      <w:pPr>
        <w:ind w:left="3960"/>
      </w:pPr>
      <w:rPr>
        <w:rFonts w:cs="Arial" w:hAnsi="Arial" w:eastAsia="Arial" w:ascii="Arial"/>
        <w:b w:val="0"/>
        <w:i w:val="0"/>
        <w:strike w:val="0"/>
        <w:dstrike w:val="0"/>
        <w:color w:val="333333"/>
        <w:sz w:val="20"/>
        <w:szCs w:val="20"/>
        <w:u w:val="none" w:color="000000"/>
        <w:bdr w:val="none"/>
        <w:shd w:val="clear"/>
        <w:vertAlign w:val="baseline"/>
      </w:rPr>
    </w:lvl>
    <w:lvl w:ilvl="6">
      <w:start w:val="1"/>
      <w:numFmt w:val="decimal"/>
      <w:lvlText w:val="%7"/>
      <w:pPr>
        <w:ind w:left="4680"/>
      </w:pPr>
      <w:rPr>
        <w:rFonts w:cs="Arial" w:hAnsi="Arial" w:eastAsia="Arial" w:ascii="Arial"/>
        <w:b w:val="0"/>
        <w:i w:val="0"/>
        <w:strike w:val="0"/>
        <w:dstrike w:val="0"/>
        <w:color w:val="333333"/>
        <w:sz w:val="20"/>
        <w:szCs w:val="20"/>
        <w:u w:val="none" w:color="000000"/>
        <w:bdr w:val="none"/>
        <w:shd w:val="clear"/>
        <w:vertAlign w:val="baseline"/>
      </w:rPr>
    </w:lvl>
    <w:lvl w:ilvl="7">
      <w:start w:val="1"/>
      <w:numFmt w:val="lowerLetter"/>
      <w:lvlText w:val="%8"/>
      <w:pPr>
        <w:ind w:left="5400"/>
      </w:pPr>
      <w:rPr>
        <w:rFonts w:cs="Arial" w:hAnsi="Arial" w:eastAsia="Arial" w:ascii="Arial"/>
        <w:b w:val="0"/>
        <w:i w:val="0"/>
        <w:strike w:val="0"/>
        <w:dstrike w:val="0"/>
        <w:color w:val="333333"/>
        <w:sz w:val="20"/>
        <w:szCs w:val="20"/>
        <w:u w:val="none" w:color="000000"/>
        <w:bdr w:val="none"/>
        <w:shd w:val="clear"/>
        <w:vertAlign w:val="baseline"/>
      </w:rPr>
    </w:lvl>
    <w:lvl w:ilvl="8">
      <w:start w:val="1"/>
      <w:numFmt w:val="lowerRoman"/>
      <w:lvlText w:val="%9"/>
      <w:pPr>
        <w:ind w:left="6120"/>
      </w:pPr>
      <w:rPr>
        <w:rFonts w:cs="Arial" w:hAnsi="Arial" w:eastAsia="Arial" w:ascii="Arial"/>
        <w:b w:val="0"/>
        <w:i w:val="0"/>
        <w:strike w:val="0"/>
        <w:dstrike w:val="0"/>
        <w:color w:val="333333"/>
        <w:sz w:val="20"/>
        <w:szCs w:val="20"/>
        <w:u w:val="none" w:color="000000"/>
        <w:bdr w:val="none"/>
        <w:shd w:val="clear"/>
        <w:vertAlign w:val="baseline"/>
      </w:rPr>
    </w:lvl>
  </w:abstractNum>
  <w:abstractNum w:abstractNumId="1">
    <w:multiLevelType w:val="hybridMultilevel"/>
    <w:lvl w:ilvl="0">
      <w:start w:val="1"/>
      <w:numFmt w:val="lowerRoman"/>
      <w:lvlText w:val="(%1)"/>
      <w:pPr>
        <w:ind w:left="10"/>
      </w:pPr>
      <w:rPr>
        <w:rFonts w:cs="Arial" w:hAnsi="Arial" w:eastAsia="Arial" w:ascii="Arial"/>
        <w:b w:val="0"/>
        <w:i w:val="0"/>
        <w:strike w:val="0"/>
        <w:dstrike w:val="0"/>
        <w:color w:val="333333"/>
        <w:sz w:val="20"/>
        <w:szCs w:val="20"/>
        <w:u w:val="none" w:color="000000"/>
        <w:bdr w:val="none"/>
        <w:shd w:val="clear"/>
        <w:vertAlign w:val="baseline"/>
      </w:rPr>
    </w:lvl>
    <w:lvl w:ilvl="1">
      <w:start w:val="1"/>
      <w:numFmt w:val="lowerLetter"/>
      <w:lvlText w:val="%2"/>
      <w:pPr>
        <w:ind w:left="1080"/>
      </w:pPr>
      <w:rPr>
        <w:rFonts w:cs="Arial" w:hAnsi="Arial" w:eastAsia="Arial" w:ascii="Arial"/>
        <w:b w:val="0"/>
        <w:i w:val="0"/>
        <w:strike w:val="0"/>
        <w:dstrike w:val="0"/>
        <w:color w:val="333333"/>
        <w:sz w:val="20"/>
        <w:szCs w:val="20"/>
        <w:u w:val="none" w:color="000000"/>
        <w:bdr w:val="none"/>
        <w:shd w:val="clear"/>
        <w:vertAlign w:val="baseline"/>
      </w:rPr>
    </w:lvl>
    <w:lvl w:ilvl="2">
      <w:start w:val="1"/>
      <w:numFmt w:val="lowerRoman"/>
      <w:lvlText w:val="%3"/>
      <w:pPr>
        <w:ind w:left="1800"/>
      </w:pPr>
      <w:rPr>
        <w:rFonts w:cs="Arial" w:hAnsi="Arial" w:eastAsia="Arial" w:ascii="Arial"/>
        <w:b w:val="0"/>
        <w:i w:val="0"/>
        <w:strike w:val="0"/>
        <w:dstrike w:val="0"/>
        <w:color w:val="333333"/>
        <w:sz w:val="20"/>
        <w:szCs w:val="20"/>
        <w:u w:val="none" w:color="000000"/>
        <w:bdr w:val="none"/>
        <w:shd w:val="clear"/>
        <w:vertAlign w:val="baseline"/>
      </w:rPr>
    </w:lvl>
    <w:lvl w:ilvl="3">
      <w:start w:val="1"/>
      <w:numFmt w:val="decimal"/>
      <w:lvlText w:val="%4"/>
      <w:pPr>
        <w:ind w:left="2520"/>
      </w:pPr>
      <w:rPr>
        <w:rFonts w:cs="Arial" w:hAnsi="Arial" w:eastAsia="Arial" w:ascii="Arial"/>
        <w:b w:val="0"/>
        <w:i w:val="0"/>
        <w:strike w:val="0"/>
        <w:dstrike w:val="0"/>
        <w:color w:val="333333"/>
        <w:sz w:val="20"/>
        <w:szCs w:val="20"/>
        <w:u w:val="none" w:color="000000"/>
        <w:bdr w:val="none"/>
        <w:shd w:val="clear"/>
        <w:vertAlign w:val="baseline"/>
      </w:rPr>
    </w:lvl>
    <w:lvl w:ilvl="4">
      <w:start w:val="1"/>
      <w:numFmt w:val="lowerLetter"/>
      <w:lvlText w:val="%5"/>
      <w:pPr>
        <w:ind w:left="3240"/>
      </w:pPr>
      <w:rPr>
        <w:rFonts w:cs="Arial" w:hAnsi="Arial" w:eastAsia="Arial" w:ascii="Arial"/>
        <w:b w:val="0"/>
        <w:i w:val="0"/>
        <w:strike w:val="0"/>
        <w:dstrike w:val="0"/>
        <w:color w:val="333333"/>
        <w:sz w:val="20"/>
        <w:szCs w:val="20"/>
        <w:u w:val="none" w:color="000000"/>
        <w:bdr w:val="none"/>
        <w:shd w:val="clear"/>
        <w:vertAlign w:val="baseline"/>
      </w:rPr>
    </w:lvl>
    <w:lvl w:ilvl="5">
      <w:start w:val="1"/>
      <w:numFmt w:val="lowerRoman"/>
      <w:lvlText w:val="%6"/>
      <w:pPr>
        <w:ind w:left="3960"/>
      </w:pPr>
      <w:rPr>
        <w:rFonts w:cs="Arial" w:hAnsi="Arial" w:eastAsia="Arial" w:ascii="Arial"/>
        <w:b w:val="0"/>
        <w:i w:val="0"/>
        <w:strike w:val="0"/>
        <w:dstrike w:val="0"/>
        <w:color w:val="333333"/>
        <w:sz w:val="20"/>
        <w:szCs w:val="20"/>
        <w:u w:val="none" w:color="000000"/>
        <w:bdr w:val="none"/>
        <w:shd w:val="clear"/>
        <w:vertAlign w:val="baseline"/>
      </w:rPr>
    </w:lvl>
    <w:lvl w:ilvl="6">
      <w:start w:val="1"/>
      <w:numFmt w:val="decimal"/>
      <w:lvlText w:val="%7"/>
      <w:pPr>
        <w:ind w:left="4680"/>
      </w:pPr>
      <w:rPr>
        <w:rFonts w:cs="Arial" w:hAnsi="Arial" w:eastAsia="Arial" w:ascii="Arial"/>
        <w:b w:val="0"/>
        <w:i w:val="0"/>
        <w:strike w:val="0"/>
        <w:dstrike w:val="0"/>
        <w:color w:val="333333"/>
        <w:sz w:val="20"/>
        <w:szCs w:val="20"/>
        <w:u w:val="none" w:color="000000"/>
        <w:bdr w:val="none"/>
        <w:shd w:val="clear"/>
        <w:vertAlign w:val="baseline"/>
      </w:rPr>
    </w:lvl>
    <w:lvl w:ilvl="7">
      <w:start w:val="1"/>
      <w:numFmt w:val="lowerLetter"/>
      <w:lvlText w:val="%8"/>
      <w:pPr>
        <w:ind w:left="5400"/>
      </w:pPr>
      <w:rPr>
        <w:rFonts w:cs="Arial" w:hAnsi="Arial" w:eastAsia="Arial" w:ascii="Arial"/>
        <w:b w:val="0"/>
        <w:i w:val="0"/>
        <w:strike w:val="0"/>
        <w:dstrike w:val="0"/>
        <w:color w:val="333333"/>
        <w:sz w:val="20"/>
        <w:szCs w:val="20"/>
        <w:u w:val="none" w:color="000000"/>
        <w:bdr w:val="none"/>
        <w:shd w:val="clear"/>
        <w:vertAlign w:val="baseline"/>
      </w:rPr>
    </w:lvl>
    <w:lvl w:ilvl="8">
      <w:start w:val="1"/>
      <w:numFmt w:val="lowerRoman"/>
      <w:lvlText w:val="%9"/>
      <w:pPr>
        <w:ind w:left="6120"/>
      </w:pPr>
      <w:rPr>
        <w:rFonts w:cs="Arial" w:hAnsi="Arial" w:eastAsia="Arial" w:ascii="Arial"/>
        <w:b w:val="0"/>
        <w:i w:val="0"/>
        <w:strike w:val="0"/>
        <w:dstrike w:val="0"/>
        <w:color w:val="333333"/>
        <w:sz w:val="20"/>
        <w:szCs w:val="20"/>
        <w:u w:val="none" w:color="000000"/>
        <w:bdr w:val="none"/>
        <w:shd w:val="clear"/>
        <w:vertAlign w:val="baseline"/>
      </w:rPr>
    </w:lvl>
  </w:abstractNum>
  <w:abstractNum w:abstractNumId="2">
    <w:multiLevelType w:val="hybridMultilevel"/>
    <w:lvl w:ilvl="0">
      <w:start w:val="5"/>
      <w:numFmt w:val="decimal"/>
      <w:lvlText w:val="%1."/>
      <w:pPr>
        <w:ind w:left="10"/>
      </w:pPr>
      <w:rPr>
        <w:rFonts w:cs="Arial" w:hAnsi="Arial" w:eastAsia="Arial" w:ascii="Arial"/>
        <w:b w:val="0"/>
        <w:i w:val="0"/>
        <w:strike w:val="0"/>
        <w:dstrike w:val="0"/>
        <w:color w:val="333333"/>
        <w:sz w:val="20"/>
        <w:szCs w:val="20"/>
        <w:u w:val="none" w:color="000000"/>
        <w:bdr w:val="none"/>
        <w:shd w:val="clear"/>
        <w:vertAlign w:val="baseline"/>
      </w:rPr>
    </w:lvl>
    <w:lvl w:ilvl="1">
      <w:start w:val="1"/>
      <w:numFmt w:val="bullet"/>
      <w:lvlText w:val="•"/>
      <w:pPr>
        <w:ind w:left="2084"/>
      </w:pPr>
      <w:rPr>
        <w:rFonts w:cs="Arial" w:hAnsi="Arial" w:eastAsia="Arial" w:ascii="Arial"/>
        <w:b w:val="0"/>
        <w:i w:val="0"/>
        <w:strike w:val="0"/>
        <w:dstrike w:val="0"/>
        <w:color w:val="333333"/>
        <w:sz w:val="20"/>
        <w:szCs w:val="20"/>
        <w:u w:val="none" w:color="000000"/>
        <w:bdr w:val="none"/>
        <w:shd w:val="clear"/>
        <w:vertAlign w:val="baseline"/>
      </w:rPr>
    </w:lvl>
    <w:lvl w:ilvl="2">
      <w:start w:val="1"/>
      <w:numFmt w:val="bullet"/>
      <w:lvlText w:val="▪"/>
      <w:pPr>
        <w:ind w:left="2803"/>
      </w:pPr>
      <w:rPr>
        <w:rFonts w:cs="Segoe UI Symbol" w:hAnsi="Segoe UI Symbol" w:eastAsia="Segoe UI Symbol" w:ascii="Segoe UI Symbol"/>
        <w:b w:val="0"/>
        <w:i w:val="0"/>
        <w:strike w:val="0"/>
        <w:dstrike w:val="0"/>
        <w:color w:val="333333"/>
        <w:sz w:val="20"/>
        <w:szCs w:val="20"/>
        <w:u w:val="none" w:color="000000"/>
        <w:bdr w:val="none"/>
        <w:shd w:val="clear"/>
        <w:vertAlign w:val="baseline"/>
      </w:rPr>
    </w:lvl>
    <w:lvl w:ilvl="3">
      <w:start w:val="1"/>
      <w:numFmt w:val="bullet"/>
      <w:lvlText w:val="•"/>
      <w:pPr>
        <w:ind w:left="3523"/>
      </w:pPr>
      <w:rPr>
        <w:rFonts w:cs="Arial" w:hAnsi="Arial" w:eastAsia="Arial" w:ascii="Arial"/>
        <w:b w:val="0"/>
        <w:i w:val="0"/>
        <w:strike w:val="0"/>
        <w:dstrike w:val="0"/>
        <w:color w:val="333333"/>
        <w:sz w:val="20"/>
        <w:szCs w:val="20"/>
        <w:u w:val="none" w:color="000000"/>
        <w:bdr w:val="none"/>
        <w:shd w:val="clear"/>
        <w:vertAlign w:val="baseline"/>
      </w:rPr>
    </w:lvl>
    <w:lvl w:ilvl="4">
      <w:start w:val="1"/>
      <w:numFmt w:val="bullet"/>
      <w:lvlText w:val="o"/>
      <w:pPr>
        <w:ind w:left="4243"/>
      </w:pPr>
      <w:rPr>
        <w:rFonts w:cs="Segoe UI Symbol" w:hAnsi="Segoe UI Symbol" w:eastAsia="Segoe UI Symbol" w:ascii="Segoe UI Symbol"/>
        <w:b w:val="0"/>
        <w:i w:val="0"/>
        <w:strike w:val="0"/>
        <w:dstrike w:val="0"/>
        <w:color w:val="333333"/>
        <w:sz w:val="20"/>
        <w:szCs w:val="20"/>
        <w:u w:val="none" w:color="000000"/>
        <w:bdr w:val="none"/>
        <w:shd w:val="clear"/>
        <w:vertAlign w:val="baseline"/>
      </w:rPr>
    </w:lvl>
    <w:lvl w:ilvl="5">
      <w:start w:val="1"/>
      <w:numFmt w:val="bullet"/>
      <w:lvlText w:val="▪"/>
      <w:pPr>
        <w:ind w:left="4963"/>
      </w:pPr>
      <w:rPr>
        <w:rFonts w:cs="Segoe UI Symbol" w:hAnsi="Segoe UI Symbol" w:eastAsia="Segoe UI Symbol" w:ascii="Segoe UI Symbol"/>
        <w:b w:val="0"/>
        <w:i w:val="0"/>
        <w:strike w:val="0"/>
        <w:dstrike w:val="0"/>
        <w:color w:val="333333"/>
        <w:sz w:val="20"/>
        <w:szCs w:val="20"/>
        <w:u w:val="none" w:color="000000"/>
        <w:bdr w:val="none"/>
        <w:shd w:val="clear"/>
        <w:vertAlign w:val="baseline"/>
      </w:rPr>
    </w:lvl>
    <w:lvl w:ilvl="6">
      <w:start w:val="1"/>
      <w:numFmt w:val="bullet"/>
      <w:lvlText w:val="•"/>
      <w:pPr>
        <w:ind w:left="5683"/>
      </w:pPr>
      <w:rPr>
        <w:rFonts w:cs="Arial" w:hAnsi="Arial" w:eastAsia="Arial" w:ascii="Arial"/>
        <w:b w:val="0"/>
        <w:i w:val="0"/>
        <w:strike w:val="0"/>
        <w:dstrike w:val="0"/>
        <w:color w:val="333333"/>
        <w:sz w:val="20"/>
        <w:szCs w:val="20"/>
        <w:u w:val="none" w:color="000000"/>
        <w:bdr w:val="none"/>
        <w:shd w:val="clear"/>
        <w:vertAlign w:val="baseline"/>
      </w:rPr>
    </w:lvl>
    <w:lvl w:ilvl="7">
      <w:start w:val="1"/>
      <w:numFmt w:val="bullet"/>
      <w:lvlText w:val="o"/>
      <w:pPr>
        <w:ind w:left="6403"/>
      </w:pPr>
      <w:rPr>
        <w:rFonts w:cs="Segoe UI Symbol" w:hAnsi="Segoe UI Symbol" w:eastAsia="Segoe UI Symbol" w:ascii="Segoe UI Symbol"/>
        <w:b w:val="0"/>
        <w:i w:val="0"/>
        <w:strike w:val="0"/>
        <w:dstrike w:val="0"/>
        <w:color w:val="333333"/>
        <w:sz w:val="20"/>
        <w:szCs w:val="20"/>
        <w:u w:val="none" w:color="000000"/>
        <w:bdr w:val="none"/>
        <w:shd w:val="clear"/>
        <w:vertAlign w:val="baseline"/>
      </w:rPr>
    </w:lvl>
    <w:lvl w:ilvl="8">
      <w:start w:val="1"/>
      <w:numFmt w:val="bullet"/>
      <w:lvlText w:val="▪"/>
      <w:pPr>
        <w:ind w:left="7123"/>
      </w:pPr>
      <w:rPr>
        <w:rFonts w:cs="Segoe UI Symbol" w:hAnsi="Segoe UI Symbol" w:eastAsia="Segoe UI Symbol" w:ascii="Segoe UI Symbol"/>
        <w:b w:val="0"/>
        <w:i w:val="0"/>
        <w:strike w:val="0"/>
        <w:dstrike w:val="0"/>
        <w:color w:val="333333"/>
        <w:sz w:val="20"/>
        <w:szCs w:val="20"/>
        <w:u w:val="none" w:color="000000"/>
        <w:bdr w:val="none"/>
        <w:shd w:val="clear"/>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w14="http://schemas.microsoft.com/office/word/2010/wordml" xmlns:r="http://schemas.openxmlformats.org/officeDocument/2006/relationships" xmlns:w="http://schemas.openxmlformats.org/wordprocessingml/2006/main" mc:Ignorable="w14">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14="http://schemas.microsoft.com/office/word/2010/wordml" xmlns:w15="http://schemas.microsoft.com/office/word/2012/wordml" xmlns:w="http://schemas.openxmlformats.org/wordprocessingml/2006/main" mc:Ignorable="w14 w15">
  <w:style w:type="paragraph" w:styleId="normal" w:default="true">
    <w:name w:val="Normal"/>
    <w:qFormat/>
    <w:pPr>
      <w:bidi w:val="0"/>
      <w:spacing w:before="0" w:after="5" w:line="251" w:lineRule="auto"/>
      <w:ind w:left="10" w:right="0" w:hanging="10"/>
      <w:jc w:val="left"/>
    </w:pPr>
    <w:rPr>
      <w:rFonts w:cs="Arial" w:hAnsi="Arial" w:eastAsia="Arial" w:ascii="Arial"/>
      <w:color w:val="333333"/>
      <w:sz w:val="20"/>
    </w:rPr>
  </w:style>
  <w:style w:type="paragraph" w:styleId="heading1">
    <w:name w:val="Heading 1"/>
    <w:next w:val="normal"/>
    <w:link w:val="heading1Char"/>
    <w:uiPriority w:val="9"/>
    <w:unhideWhenUsed/>
    <w:qFormat/>
    <w:pPr>
      <w:keepNext/>
      <w:keepLines/>
      <w:bidi w:val="0"/>
      <w:spacing w:before="0" w:after="0" w:line="259" w:lineRule="auto"/>
      <w:ind w:left="10" w:right="0" w:hanging="10"/>
      <w:jc w:val="left"/>
      <w:outlineLvl w:val="0"/>
    </w:pPr>
    <w:rPr>
      <w:rFonts w:cs="Arial" w:hAnsi="Arial" w:eastAsia="Arial" w:ascii="Arial"/>
      <w:b w:val="1"/>
      <w:color w:val="333333"/>
      <w:sz w:val="20"/>
    </w:rPr>
  </w:style>
  <w:style w:type="character" w:styleId="heading1Char">
    <w:name w:val="Heading 1 Char"/>
    <w:link w:val="heading1"/>
    <w:rPr>
      <w:rFonts w:cs="Arial" w:hAnsi="Arial" w:eastAsia="Arial" w:ascii="Arial"/>
      <w:b w:val="1"/>
      <w:color w:val="333333"/>
      <w:sz w:val="20"/>
    </w:rPr>
  </w:style>
  <w:style w:type="table" w:styleId="TableGrid">
    <w:name w:val="TableGrid"/>
    <w:pPr>
      <w:spacing w:lineRule="auto" w:line="240" w:after="0"/>
    </w:pPr>
  </w:style>
</w:styles>
</file>

<file path=word/_rels/document.xml.rels><?xml version="1.0" encoding="UTF-8" standalone="yes"?>
<Relationships xmlns="http://schemas.openxmlformats.org/package/2006/relationships"><Relationship Id="rsSettingsId" Type="http://schemas.openxmlformats.org/officeDocument/2006/relationships/settings" Target="settings.xml"/><Relationship Id="rId3"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5" Type="http://schemas.openxmlformats.org/officeDocument/2006/relationships/customXml" Target="../customXml/item5.xml"/><Relationship Id="rsNumberingId" Type="http://schemas.openxmlformats.org/officeDocument/2006/relationships/numbering" Target="numbering.xml"/><Relationship Id="rsStylesId" Type="http://schemas.openxmlformats.org/officeDocument/2006/relationships/styles" Target="styles.xml"/><Relationship Id="rId4" Type="http://schemas.openxmlformats.org/officeDocument/2006/relationships/customXml" Target="../customXml/item4.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2015-12-17T14:00:00+00:00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1438</Value>
      <Value>1</Value>
      <Value>763</Value>
    </TaxCatchAll>
    <c4e2ab2cc9354bbf9064eeb465a566ea xmlns="1ed4137b-41b2-488b-8250-6d369ec27664">
      <Terms xmlns="http://schemas.microsoft.com/office/infopath/2007/PartnerControls"/>
    </c4e2ab2cc9354bbf9064eeb465a566ea>
    <UndpProjectNo xmlns="1ed4137b-41b2-488b-8250-6d369ec27664" xsi:nil="true"/>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TUR</TermName>
          <TermId xmlns="http://schemas.microsoft.com/office/infopath/2007/PartnerControls">b1da87ce-cadd-4ccc-b5a4-963a2e081154</TermId>
        </TermInfo>
      </Terms>
    </gc6531b704974d528487414686b72f6f>
    <_dlc_DocId xmlns="f1161f5b-24a3-4c2d-bc81-44cb9325e8ee">ATLASPDC-4-43340</_dlc_DocId>
    <_dlc_DocIdUrl xmlns="f1161f5b-24a3-4c2d-bc81-44cb9325e8ee">
      <Url>https://info.undp.org/docs/pdc/_layouts/DocIdRedir.aspx?ID=ATLASPDC-4-43340</Url>
      <Description>ATLASPDC-4-43340</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5497EC39-5BD7-4F92-B97E-DC3C26CC505B}"/>
</file>

<file path=customXml/itemProps2.xml><?xml version="1.0" encoding="utf-8"?>
<ds:datastoreItem xmlns:ds="http://schemas.openxmlformats.org/officeDocument/2006/customXml" ds:itemID="{0A1CFC4C-3F73-4BC0-940B-B3FB14E50620}"/>
</file>

<file path=customXml/itemProps3.xml><?xml version="1.0" encoding="utf-8"?>
<ds:datastoreItem xmlns:ds="http://schemas.openxmlformats.org/officeDocument/2006/customXml" ds:itemID="{2B94ABCF-3E1B-4587-BD67-C7E49CC413F5}"/>
</file>

<file path=customXml/itemProps4.xml><?xml version="1.0" encoding="utf-8"?>
<ds:datastoreItem xmlns:ds="http://schemas.openxmlformats.org/officeDocument/2006/customXml" ds:itemID="{24CA9A64-25C8-49FD-924F-D33A5226DA5A}"/>
</file>

<file path=customXml/itemProps5.xml><?xml version="1.0" encoding="utf-8"?>
<ds:datastoreItem xmlns:ds="http://schemas.openxmlformats.org/officeDocument/2006/customXml" ds:itemID="{150C6E29-4B4C-4231-8537-EC3C03FBD40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Bilgin Sezer</dc:creator>
  <cp:keywords/>
  <dcterms:created xsi:type="dcterms:W3CDTF">2015-12-17T14:03:41Z</dcterms:created>
  <dcterms:modified xsi:type="dcterms:W3CDTF">2015-12-17T14:03:41Z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1438;#TUR|b1da87ce-cadd-4ccc-b5a4-963a2e081154</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
  </property>
  <property fmtid="{D5CDD505-2E9C-101B-9397-08002B2CF9AE}" pid="17" name="_dlc_DocIdItemGuid">
    <vt:lpwstr>1d6c528d-8c92-4d64-b38b-834ab412622a</vt:lpwstr>
  </property>
  <property fmtid="{D5CDD505-2E9C-101B-9397-08002B2CF9AE}" pid="18" name="URL">
    <vt:lpwstr/>
  </property>
  <property fmtid="{D5CDD505-2E9C-101B-9397-08002B2CF9AE}" pid="19" name="DocumentSetDescription">
    <vt:lpwstr/>
  </property>
</Properties>
</file>